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This activity will help students develop a deeper understanding of what a GAP year is and how to utilize it to its full potential. This lesson will allow students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showcase their learning experiences, self-discovery, and related career exploration that can be completed during a GAP year by exploring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‘Your Path After High School’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Guide in myBlueprint.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tbl>
      <w:tblPr>
        <w:tblStyle w:val="Table1"/>
        <w:tblW w:w="89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495"/>
        <w:gridCol w:w="2475"/>
        <w:gridCol w:w="495"/>
        <w:gridCol w:w="2970"/>
        <w:gridCol w:w="420"/>
        <w:tblGridChange w:id="0">
          <w:tblGrid>
            <w:gridCol w:w="2130"/>
            <w:gridCol w:w="495"/>
            <w:gridCol w:w="2475"/>
            <w:gridCol w:w="495"/>
            <w:gridCol w:w="2970"/>
            <w:gridCol w:w="42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ind w:lef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 Led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ind w:lef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ind w:lef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Requires Computer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ind w:lef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ind w:lef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Requires myBlueprint.ca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ind w:lef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X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LEARNING GOALS: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explore the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‘Your Path After high School’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Guide in myBlueprint to:</w:t>
      </w:r>
    </w:p>
    <w:p w:rsidR="00000000" w:rsidDel="00000000" w:rsidP="00000000" w:rsidRDefault="00000000" w:rsidRPr="00000000" w14:paraId="0000000C">
      <w:pPr>
        <w:pageBreakBefore w:val="0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   Identify potential post-secondary pathways </w:t>
      </w:r>
    </w:p>
    <w:p w:rsidR="00000000" w:rsidDel="00000000" w:rsidP="00000000" w:rsidRDefault="00000000" w:rsidRPr="00000000" w14:paraId="0000000D">
      <w:pPr>
        <w:pageBreakBefore w:val="0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   Compare two (2) GAP year possibilities and identify their commonalities and differences</w:t>
      </w:r>
    </w:p>
    <w:p w:rsidR="00000000" w:rsidDel="00000000" w:rsidP="00000000" w:rsidRDefault="00000000" w:rsidRPr="00000000" w14:paraId="0000000E">
      <w:pPr>
        <w:pageBreakBefore w:val="0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 </w:t>
        <w:tab/>
        <w:t xml:space="preserve"> Select one (1) specific GAP year possibility that interests them the most, and provide two (2) reasons why this option may be the best fit for them</w:t>
      </w:r>
    </w:p>
    <w:p w:rsidR="00000000" w:rsidDel="00000000" w:rsidP="00000000" w:rsidRDefault="00000000" w:rsidRPr="00000000" w14:paraId="0000000F">
      <w:pPr>
        <w:pageBreakBefore w:val="0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Getting Started with myBlueprint: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students visit myBlueprint using their district landing page: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080" w:hanging="360"/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www.myBlueprint.ca/anglophoneeast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080" w:hanging="360"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www.myBlueprint.ca/anglohonewest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08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www.myBlueprint.ca/anglophonenorth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080" w:hanging="360"/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www.myBlueprint.ca/anglophonesouth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080" w:hanging="360"/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www.myBlueprint.ca/dsfne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080" w:hanging="360"/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www.myBlueprint.ca/dsfno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080" w:hanging="360"/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www.myBlueprint.ca/francophonesud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Account Log In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 in using your school district credentials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1E">
      <w:pPr>
        <w:pageBreakBefore w:val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   Computers, tablets, or mobile devices</w:t>
      </w:r>
    </w:p>
    <w:p w:rsidR="00000000" w:rsidDel="00000000" w:rsidP="00000000" w:rsidRDefault="00000000" w:rsidRPr="00000000" w14:paraId="0000001F">
      <w:pPr>
        <w:pageBreakBefore w:val="0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Handout [A] - My Path After High School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Handout [B] - GAP Year Possibilities Comparison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As a class, discuss “What is a GAP year?” and “How can I benefit from taking a GAP year?” You may wish to explore the following blog article: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What is a GAP year?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You may wish to use the following discuss the following key components of a GAP year: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away from home or stay at home and widen financial options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at home or abroad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Travel to different parts of the world and learn another language 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Explore a skilled trade or get an internship to test drive a career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During a whole-group discussion, co-create a definition of a GAP year and discuss some possible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benefits of taking a GAP year after high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Examples of benefits include: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Experience a different culture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Become more financially aware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Explore and discover hidden passions 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for reflection on post-secondary interests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Distribute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Handout [A] and [B]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students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log in to myBlueprint and selection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Guides &gt; Your Path After High School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Invite students to read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individually the first tab on the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Your Path After High School Guide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complete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Handout [A] - My Options After High School.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They should add the co-created definition of a GAP year to their handout.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students to review and explore the list of links related to GAP year possibilities and complete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Handout [B]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GAP Year Possibilities Comparison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analyze and compare two different GAP year possibilities.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students have completed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Handout [B]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have them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share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GAP year link they found most interesting in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Career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Portfolio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add a reflection.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b w:val="1"/>
        </w:rPr>
        <w:sectPr>
          <w:headerReference r:id="rId14" w:type="default"/>
          <w:headerReference r:id="rId15" w:type="first"/>
          <w:footerReference r:id="rId16" w:type="default"/>
          <w:footerReference r:id="rId17" w:type="first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HANDOUT [A] - My Path After High School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 the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My Path After High School Guide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myBlueprint by: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right="-5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Clicking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Home &gt; Guides 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Select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My Path After High School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a GAP year?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After reading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Your Path After High School Guide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myBlueprint,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complete the following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The graphic organizer in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Your Path After High School Guide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displays four (4) pathways you can select during your GAP year: Work, volunteer, travel, and explore. Identify one category that interests you the most, and explain why this pathway interests you.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Based on the GAP year category you selected in question 1, provide two (2) specific examples of what you could do if you selected this pathway.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What are two (2) potential transferable skills that you can develop by choosing this pathway? Explain why you think these skills will be developed during this GAP year pathway.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right="-5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right="-5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HANDOUT [B] - GAP Year possibilities Comparison 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3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and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xplore two (2) of the links provided in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Your Path After High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guide under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Gap year possibilities heading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(i.e.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Discover Year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International Experience Canada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Identify three (3) commonalities and two (2) differences between these opportunities.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638175</wp:posOffset>
                </wp:positionV>
                <wp:extent cx="8837966" cy="467201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7225" y="441125"/>
                          <a:ext cx="8837966" cy="4672013"/>
                          <a:chOff x="327225" y="441125"/>
                          <a:chExt cx="10527525" cy="38508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27225" y="1342975"/>
                            <a:ext cx="3283200" cy="29490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868300" y="1342975"/>
                            <a:ext cx="3348900" cy="2888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208450" y="441125"/>
                            <a:ext cx="56463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080575" y="1202350"/>
                            <a:ext cx="1613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858375" y="1202350"/>
                            <a:ext cx="1613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638175</wp:posOffset>
                </wp:positionV>
                <wp:extent cx="8837966" cy="467201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7966" cy="4672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after="200" w:lineRule="auto"/>
        <w:ind w:left="426" w:right="-5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Once you have completed the Venn diagram, take a picture or upload your electronic copy to your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Career Portfolio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myBlueprint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Home &gt; Portfolios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the left-hand navigation menu in their student account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Click to open your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Career Portfolio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 Box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&gt; Add Media 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Upload photo of venn-diagram</w:t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3.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lick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 Reflection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 the bottom right corner of your Venn Diagram box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Your reflection should    include your answers to the two (2) reflection prompts below:</w:t>
      </w:r>
    </w:p>
    <w:p w:rsidR="00000000" w:rsidDel="00000000" w:rsidP="00000000" w:rsidRDefault="00000000" w:rsidRPr="00000000" w14:paraId="0000005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63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could be a challenge of taking GAP year?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63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could be a benefit of a taking GAP year?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63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comparing the similarities and differences of two potential GAP year choices help you make a more informed decision?</w:t>
      </w:r>
    </w:p>
    <w:p w:rsidR="00000000" w:rsidDel="00000000" w:rsidP="00000000" w:rsidRDefault="00000000" w:rsidRPr="00000000" w14:paraId="00000054">
      <w:pPr>
        <w:pageBreakBefore w:val="0"/>
        <w:spacing w:after="200" w:lineRule="auto"/>
        <w:ind w:left="360" w:right="-5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200" w:lineRule="auto"/>
        <w:ind w:left="360" w:right="-5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right="-560"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200" w:lineRule="auto"/>
        <w:ind w:left="360" w:right="-5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20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-55243</wp:posOffset>
          </wp:positionH>
          <wp:positionV relativeFrom="paragraph">
            <wp:posOffset>-165733</wp:posOffset>
          </wp:positionV>
          <wp:extent cx="1581150" cy="381000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YOUR PATH AFTER HIGH SCHOOL LESSON PLAN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-57148</wp:posOffset>
          </wp:positionH>
          <wp:positionV relativeFrom="paragraph">
            <wp:posOffset>-152398</wp:posOffset>
          </wp:positionV>
          <wp:extent cx="1581150" cy="38100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hyperlink" Target="http://www.myblueprint.ca/dsfno" TargetMode="External"/><Relationship Id="rId10" Type="http://schemas.openxmlformats.org/officeDocument/2006/relationships/hyperlink" Target="http://www.myblueprint.ca/dsfne" TargetMode="External"/><Relationship Id="rId13" Type="http://schemas.openxmlformats.org/officeDocument/2006/relationships/hyperlink" Target="https://www.cangap.ca/post/gap-year-questions-what-is-a-gap-year-who-takes-them" TargetMode="External"/><Relationship Id="rId12" Type="http://schemas.openxmlformats.org/officeDocument/2006/relationships/hyperlink" Target="http://www.myblueprint.ca/francophonesu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blueprint.ca/anglophonesouth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19" Type="http://schemas.openxmlformats.org/officeDocument/2006/relationships/hyperlink" Target="https://www.cic.gc.ca/IEC-EIC/index.asp?utm_source=slash-iec_eic&amp;utm_medium=short-url-fr&amp;utm_campaign=iec" TargetMode="External"/><Relationship Id="rId6" Type="http://schemas.openxmlformats.org/officeDocument/2006/relationships/hyperlink" Target="http://www.myblueprint.ca/anglophoneeast" TargetMode="External"/><Relationship Id="rId18" Type="http://schemas.openxmlformats.org/officeDocument/2006/relationships/hyperlink" Target="https://www.discoveryear.ca/" TargetMode="External"/><Relationship Id="rId7" Type="http://schemas.openxmlformats.org/officeDocument/2006/relationships/hyperlink" Target="http://www.myblueprint.ca/anglohonewest" TargetMode="External"/><Relationship Id="rId8" Type="http://schemas.openxmlformats.org/officeDocument/2006/relationships/hyperlink" Target="http://www.myblueprint.ca/anglophonenort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